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10A5C" w14:textId="77777777" w:rsidR="00307518" w:rsidRPr="005371CC" w:rsidRDefault="00BB799F">
      <w:pPr>
        <w:rPr>
          <w:sz w:val="18"/>
          <w:szCs w:val="18"/>
        </w:rPr>
      </w:pPr>
      <w:r w:rsidRPr="005371CC">
        <w:rPr>
          <w:sz w:val="18"/>
          <w:szCs w:val="18"/>
        </w:rPr>
        <w:t>Stroupe</w:t>
      </w:r>
    </w:p>
    <w:p w14:paraId="7CD7475B" w14:textId="77777777" w:rsidR="00BB799F" w:rsidRPr="005371CC" w:rsidRDefault="00BB799F">
      <w:pPr>
        <w:rPr>
          <w:sz w:val="18"/>
          <w:szCs w:val="18"/>
        </w:rPr>
      </w:pPr>
      <w:r w:rsidRPr="005371CC">
        <w:rPr>
          <w:sz w:val="18"/>
          <w:szCs w:val="18"/>
        </w:rPr>
        <w:t>WRIT 1506</w:t>
      </w:r>
    </w:p>
    <w:p w14:paraId="69D96963" w14:textId="77777777" w:rsidR="00BB799F" w:rsidRPr="00BB799F" w:rsidRDefault="00BB799F" w:rsidP="00BB799F">
      <w:pPr>
        <w:jc w:val="center"/>
        <w:rPr>
          <w:b/>
          <w:sz w:val="36"/>
          <w:szCs w:val="36"/>
        </w:rPr>
      </w:pPr>
      <w:r w:rsidRPr="00BB799F">
        <w:rPr>
          <w:b/>
          <w:sz w:val="36"/>
          <w:szCs w:val="36"/>
        </w:rPr>
        <w:t>Realism</w:t>
      </w:r>
    </w:p>
    <w:p w14:paraId="54ACFA91" w14:textId="77777777" w:rsidR="00BB799F" w:rsidRDefault="00BB799F" w:rsidP="00BB799F">
      <w:pPr>
        <w:jc w:val="center"/>
      </w:pPr>
      <w:r>
        <w:rPr>
          <w:noProof/>
        </w:rPr>
        <w:drawing>
          <wp:inline distT="0" distB="0" distL="0" distR="0" wp14:anchorId="2094B183" wp14:editId="036AB2C7">
            <wp:extent cx="4452620" cy="23656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39000" contrast="30000"/>
                              </a14:imgEffect>
                            </a14:imgLayer>
                          </a14:imgProps>
                        </a:ext>
                        <a:ext uri="{28A0092B-C50C-407E-A947-70E740481C1C}">
                          <a14:useLocalDpi xmlns:a14="http://schemas.microsoft.com/office/drawing/2010/main" val="0"/>
                        </a:ext>
                      </a:extLst>
                    </a:blip>
                    <a:srcRect/>
                    <a:stretch>
                      <a:fillRect/>
                    </a:stretch>
                  </pic:blipFill>
                  <pic:spPr bwMode="auto">
                    <a:xfrm>
                      <a:off x="0" y="0"/>
                      <a:ext cx="4452955" cy="2365810"/>
                    </a:xfrm>
                    <a:prstGeom prst="rect">
                      <a:avLst/>
                    </a:prstGeom>
                    <a:noFill/>
                    <a:ln>
                      <a:noFill/>
                    </a:ln>
                  </pic:spPr>
                </pic:pic>
              </a:graphicData>
            </a:graphic>
          </wp:inline>
        </w:drawing>
      </w:r>
    </w:p>
    <w:p w14:paraId="5426163A" w14:textId="3A263BCC" w:rsidR="006C1C63" w:rsidRPr="006C1C63" w:rsidRDefault="006C1C63" w:rsidP="00BB799F">
      <w:pPr>
        <w:jc w:val="center"/>
        <w:rPr>
          <w:b/>
        </w:rPr>
      </w:pPr>
      <w:r w:rsidRPr="006C1C63">
        <w:rPr>
          <w:b/>
        </w:rPr>
        <w:t xml:space="preserve">Dates as </w:t>
      </w:r>
      <w:r>
        <w:rPr>
          <w:b/>
        </w:rPr>
        <w:t>Current</w:t>
      </w:r>
      <w:r w:rsidRPr="006C1C63">
        <w:rPr>
          <w:b/>
        </w:rPr>
        <w:t xml:space="preserve"> Style: 1850 </w:t>
      </w:r>
      <w:r>
        <w:rPr>
          <w:b/>
        </w:rPr>
        <w:t>–</w:t>
      </w:r>
      <w:r w:rsidRPr="006C1C63">
        <w:rPr>
          <w:b/>
        </w:rPr>
        <w:t xml:space="preserve"> </w:t>
      </w:r>
      <w:r>
        <w:rPr>
          <w:b/>
        </w:rPr>
        <w:t>1940s (Residual Thereafter)</w:t>
      </w:r>
    </w:p>
    <w:p w14:paraId="0B157355" w14:textId="77777777" w:rsidR="00BB799F" w:rsidRDefault="00BB799F" w:rsidP="00BB799F">
      <w:pPr>
        <w:ind w:left="720" w:right="630"/>
        <w:rPr>
          <w:i/>
          <w:sz w:val="20"/>
          <w:szCs w:val="20"/>
        </w:rPr>
      </w:pPr>
    </w:p>
    <w:p w14:paraId="7AD742EC" w14:textId="77777777" w:rsidR="000608D2" w:rsidRDefault="000608D2" w:rsidP="000608D2">
      <w:pPr>
        <w:ind w:left="720" w:right="630"/>
        <w:rPr>
          <w:i/>
          <w:sz w:val="20"/>
          <w:szCs w:val="20"/>
        </w:rPr>
      </w:pPr>
      <w:r w:rsidRPr="00BB799F">
        <w:rPr>
          <w:i/>
          <w:sz w:val="20"/>
          <w:szCs w:val="20"/>
        </w:rPr>
        <w:t>"To-day is the day of the novel.  In no other day and by no other vehicle is contemporaneous life so adequately expressed; and the critics of the twenty-second century, reviewing our times, striving to reconstruct our civilization, will look not to the painters, not to the architects for dramatists, but to the novelists to find our idiosyncrasy.”   - Frank Norris (</w:t>
      </w:r>
      <w:r w:rsidRPr="00BB799F">
        <w:rPr>
          <w:i/>
          <w:iCs/>
          <w:sz w:val="20"/>
          <w:szCs w:val="20"/>
        </w:rPr>
        <w:t>The Responsibilities of the Novelist</w:t>
      </w:r>
      <w:r w:rsidRPr="00BB799F">
        <w:rPr>
          <w:i/>
          <w:sz w:val="20"/>
          <w:szCs w:val="20"/>
        </w:rPr>
        <w:t xml:space="preserve"> [1903] 194) </w:t>
      </w:r>
    </w:p>
    <w:p w14:paraId="42930EDF" w14:textId="77777777" w:rsidR="000608D2" w:rsidRDefault="000608D2" w:rsidP="000608D2">
      <w:pPr>
        <w:ind w:left="720" w:right="630"/>
        <w:rPr>
          <w:i/>
          <w:sz w:val="20"/>
          <w:szCs w:val="20"/>
        </w:rPr>
      </w:pPr>
    </w:p>
    <w:p w14:paraId="50F63182" w14:textId="2F2F3F10" w:rsidR="00BB799F" w:rsidRPr="00BB799F" w:rsidRDefault="000608D2" w:rsidP="000608D2">
      <w:pPr>
        <w:ind w:left="720" w:right="630"/>
        <w:rPr>
          <w:i/>
          <w:sz w:val="20"/>
          <w:szCs w:val="20"/>
        </w:rPr>
      </w:pPr>
      <w:r w:rsidRPr="00BB799F">
        <w:rPr>
          <w:i/>
          <w:sz w:val="20"/>
          <w:szCs w:val="20"/>
        </w:rPr>
        <w:t xml:space="preserve"> </w:t>
      </w:r>
      <w:r w:rsidR="00BB799F" w:rsidRPr="00BB799F">
        <w:rPr>
          <w:i/>
          <w:sz w:val="20"/>
          <w:szCs w:val="20"/>
        </w:rPr>
        <w:t>“It remained for realism to asse</w:t>
      </w:r>
      <w:r w:rsidR="00BB799F">
        <w:rPr>
          <w:i/>
          <w:sz w:val="20"/>
          <w:szCs w:val="20"/>
        </w:rPr>
        <w:t>r</w:t>
      </w:r>
      <w:r w:rsidR="00BB799F" w:rsidRPr="00BB799F">
        <w:rPr>
          <w:i/>
          <w:sz w:val="20"/>
          <w:szCs w:val="20"/>
        </w:rPr>
        <w:t>t that fidelity to experience and probability of motive are essential conditions of a great imaginative literature.” - William Dean Howells (</w:t>
      </w:r>
      <w:r w:rsidR="00BB799F" w:rsidRPr="00BB799F">
        <w:rPr>
          <w:i/>
          <w:iCs/>
          <w:sz w:val="20"/>
          <w:szCs w:val="20"/>
        </w:rPr>
        <w:t>Criticism and Fiction</w:t>
      </w:r>
      <w:r w:rsidR="00BB799F" w:rsidRPr="00BB799F">
        <w:rPr>
          <w:i/>
          <w:sz w:val="20"/>
          <w:szCs w:val="20"/>
        </w:rPr>
        <w:t xml:space="preserve"> [1891] 15) </w:t>
      </w:r>
    </w:p>
    <w:p w14:paraId="28FBF890" w14:textId="77777777" w:rsidR="00BB799F" w:rsidRPr="00BB799F" w:rsidRDefault="00BB799F" w:rsidP="000608D2">
      <w:pPr>
        <w:ind w:right="630"/>
        <w:rPr>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950"/>
      </w:tblGrid>
      <w:tr w:rsidR="00BB799F" w14:paraId="20098928" w14:textId="77777777" w:rsidTr="00BA1AD8">
        <w:tc>
          <w:tcPr>
            <w:tcW w:w="4428" w:type="dxa"/>
          </w:tcPr>
          <w:p w14:paraId="657B7E35" w14:textId="77777777" w:rsidR="00BB799F" w:rsidRPr="00BB799F" w:rsidRDefault="00BB799F" w:rsidP="00BB799F">
            <w:pPr>
              <w:jc w:val="center"/>
              <w:rPr>
                <w:b/>
              </w:rPr>
            </w:pPr>
            <w:r w:rsidRPr="00BB799F">
              <w:rPr>
                <w:b/>
              </w:rPr>
              <w:t>Characteristics</w:t>
            </w:r>
          </w:p>
          <w:p w14:paraId="4DA5A58C" w14:textId="77777777" w:rsidR="00BB799F" w:rsidRPr="00BB799F" w:rsidRDefault="00BB799F" w:rsidP="00BB799F">
            <w:pPr>
              <w:rPr>
                <w:b/>
              </w:rPr>
            </w:pPr>
          </w:p>
          <w:p w14:paraId="66CCD415" w14:textId="77777777" w:rsidR="00BB799F" w:rsidRPr="00BB799F" w:rsidRDefault="00BB799F" w:rsidP="00BB799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cs="Arial"/>
                <w:sz w:val="20"/>
                <w:szCs w:val="20"/>
              </w:rPr>
            </w:pPr>
            <w:r w:rsidRPr="00BB799F">
              <w:rPr>
                <w:rFonts w:cs="Arial"/>
                <w:sz w:val="20"/>
                <w:szCs w:val="20"/>
              </w:rPr>
              <w:t xml:space="preserve">presents “large and detailed </w:t>
            </w:r>
            <w:r w:rsidRPr="00BB799F">
              <w:rPr>
                <w:rFonts w:cs="Arial"/>
                <w:b/>
                <w:sz w:val="20"/>
                <w:szCs w:val="20"/>
              </w:rPr>
              <w:t>canvases</w:t>
            </w:r>
            <w:r w:rsidRPr="00BB799F">
              <w:rPr>
                <w:rFonts w:cs="Arial"/>
                <w:sz w:val="20"/>
                <w:szCs w:val="20"/>
              </w:rPr>
              <w:t xml:space="preserve"> depicting a specified historical period,” including possibility the present (</w:t>
            </w:r>
            <w:proofErr w:type="spellStart"/>
            <w:r w:rsidRPr="00BB799F">
              <w:rPr>
                <w:rFonts w:cs="Arial"/>
                <w:sz w:val="20"/>
                <w:szCs w:val="20"/>
              </w:rPr>
              <w:t>Cobley</w:t>
            </w:r>
            <w:proofErr w:type="spellEnd"/>
            <w:r w:rsidRPr="00BB799F">
              <w:rPr>
                <w:rFonts w:cs="Arial"/>
                <w:sz w:val="20"/>
                <w:szCs w:val="20"/>
              </w:rPr>
              <w:t xml:space="preserve"> 85)</w:t>
            </w:r>
            <w:r w:rsidRPr="00BB799F">
              <w:rPr>
                <w:rFonts w:cs="Arial"/>
                <w:sz w:val="20"/>
                <w:szCs w:val="20"/>
              </w:rPr>
              <w:br/>
            </w:r>
          </w:p>
          <w:p w14:paraId="5AF11CDE" w14:textId="75F77257" w:rsidR="00BB799F" w:rsidRPr="00BB799F" w:rsidRDefault="00BB799F" w:rsidP="00BB799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cs="Arial"/>
                <w:sz w:val="20"/>
                <w:szCs w:val="20"/>
              </w:rPr>
            </w:pPr>
            <w:r w:rsidRPr="00BB799F">
              <w:rPr>
                <w:rFonts w:cs="Arial"/>
                <w:sz w:val="20"/>
                <w:szCs w:val="20"/>
              </w:rPr>
              <w:t xml:space="preserve">focuses on a varied </w:t>
            </w:r>
            <w:r w:rsidR="0074220E">
              <w:rPr>
                <w:rFonts w:cs="Arial"/>
                <w:sz w:val="20"/>
                <w:szCs w:val="20"/>
              </w:rPr>
              <w:t xml:space="preserve">and interconnected </w:t>
            </w:r>
            <w:r w:rsidRPr="00BB799F">
              <w:rPr>
                <w:rFonts w:cs="Arial"/>
                <w:sz w:val="20"/>
                <w:szCs w:val="20"/>
              </w:rPr>
              <w:t xml:space="preserve">society of </w:t>
            </w:r>
            <w:r w:rsidRPr="00BB799F">
              <w:rPr>
                <w:rFonts w:cs="Arial"/>
                <w:b/>
                <w:sz w:val="20"/>
                <w:szCs w:val="20"/>
              </w:rPr>
              <w:t>national</w:t>
            </w:r>
            <w:r w:rsidRPr="00BB799F">
              <w:rPr>
                <w:rFonts w:cs="Arial"/>
                <w:sz w:val="20"/>
                <w:szCs w:val="20"/>
              </w:rPr>
              <w:t xml:space="preserve"> scale consolidated from “disparate [local] elements,” (</w:t>
            </w:r>
            <w:proofErr w:type="spellStart"/>
            <w:r w:rsidRPr="00BB799F">
              <w:rPr>
                <w:rFonts w:cs="Arial"/>
                <w:sz w:val="20"/>
                <w:szCs w:val="20"/>
              </w:rPr>
              <w:t>Cobley</w:t>
            </w:r>
            <w:proofErr w:type="spellEnd"/>
            <w:r w:rsidRPr="00BB799F">
              <w:rPr>
                <w:rFonts w:cs="Arial"/>
                <w:sz w:val="20"/>
                <w:szCs w:val="20"/>
              </w:rPr>
              <w:t xml:space="preserve"> 88)</w:t>
            </w:r>
            <w:r w:rsidRPr="00BB799F">
              <w:rPr>
                <w:rFonts w:cs="Arial"/>
                <w:sz w:val="20"/>
                <w:szCs w:val="20"/>
              </w:rPr>
              <w:br/>
            </w:r>
          </w:p>
          <w:p w14:paraId="6EED586C" w14:textId="2580C455" w:rsidR="00BB799F" w:rsidRPr="00BB799F" w:rsidRDefault="00D00CEB" w:rsidP="00BB799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cs="Arial"/>
                <w:sz w:val="20"/>
                <w:szCs w:val="20"/>
              </w:rPr>
            </w:pPr>
            <w:r>
              <w:rPr>
                <w:rFonts w:cs="Arial"/>
                <w:sz w:val="20"/>
                <w:szCs w:val="20"/>
              </w:rPr>
              <w:t>addresses</w:t>
            </w:r>
            <w:r w:rsidR="00BB799F" w:rsidRPr="00BB799F">
              <w:rPr>
                <w:rFonts w:cs="Arial"/>
                <w:sz w:val="20"/>
                <w:szCs w:val="20"/>
              </w:rPr>
              <w:t xml:space="preserve"> </w:t>
            </w:r>
            <w:r w:rsidRPr="00BB799F">
              <w:rPr>
                <w:rFonts w:cs="Arial"/>
                <w:sz w:val="20"/>
                <w:szCs w:val="20"/>
              </w:rPr>
              <w:t>“</w:t>
            </w:r>
            <w:r>
              <w:rPr>
                <w:rFonts w:cs="Arial"/>
                <w:b/>
                <w:sz w:val="20"/>
                <w:szCs w:val="20"/>
              </w:rPr>
              <w:t>broad</w:t>
            </w:r>
            <w:r w:rsidRPr="00BB799F">
              <w:rPr>
                <w:rFonts w:cs="Arial"/>
                <w:sz w:val="20"/>
                <w:szCs w:val="20"/>
              </w:rPr>
              <w:t xml:space="preserve"> </w:t>
            </w:r>
            <w:r w:rsidRPr="00BB799F">
              <w:rPr>
                <w:rFonts w:cs="Arial"/>
                <w:b/>
                <w:sz w:val="20"/>
                <w:szCs w:val="20"/>
              </w:rPr>
              <w:t>political</w:t>
            </w:r>
            <w:r>
              <w:rPr>
                <w:rFonts w:cs="Arial"/>
                <w:b/>
                <w:sz w:val="20"/>
                <w:szCs w:val="20"/>
              </w:rPr>
              <w:t xml:space="preserve">” </w:t>
            </w:r>
            <w:r w:rsidRPr="00D00CEB">
              <w:rPr>
                <w:rFonts w:cs="Arial"/>
                <w:sz w:val="20"/>
                <w:szCs w:val="20"/>
              </w:rPr>
              <w:t>and historical issues in the form of…narrative[s] about</w:t>
            </w:r>
            <w:r>
              <w:rPr>
                <w:rFonts w:cs="Arial"/>
                <w:b/>
                <w:sz w:val="20"/>
                <w:szCs w:val="20"/>
              </w:rPr>
              <w:t xml:space="preserve"> people in…highly localized situation[s]”</w:t>
            </w:r>
            <w:r>
              <w:rPr>
                <w:rFonts w:cs="Arial"/>
                <w:sz w:val="20"/>
                <w:szCs w:val="20"/>
              </w:rPr>
              <w:t xml:space="preserve"> (</w:t>
            </w:r>
            <w:proofErr w:type="spellStart"/>
            <w:r>
              <w:rPr>
                <w:rFonts w:cs="Arial"/>
                <w:sz w:val="20"/>
                <w:szCs w:val="20"/>
              </w:rPr>
              <w:t>Cobley</w:t>
            </w:r>
            <w:proofErr w:type="spellEnd"/>
            <w:r>
              <w:rPr>
                <w:rFonts w:cs="Arial"/>
                <w:sz w:val="20"/>
                <w:szCs w:val="20"/>
              </w:rPr>
              <w:t xml:space="preserve"> 87</w:t>
            </w:r>
            <w:r w:rsidR="00BB799F" w:rsidRPr="00BB799F">
              <w:rPr>
                <w:rFonts w:cs="Arial"/>
                <w:sz w:val="20"/>
                <w:szCs w:val="20"/>
              </w:rPr>
              <w:t>)</w:t>
            </w:r>
            <w:r w:rsidR="00BB799F" w:rsidRPr="00BB799F">
              <w:rPr>
                <w:rFonts w:cs="Arial"/>
                <w:sz w:val="20"/>
                <w:szCs w:val="20"/>
              </w:rPr>
              <w:br/>
            </w:r>
          </w:p>
          <w:p w14:paraId="22661708" w14:textId="77777777" w:rsidR="00BB799F" w:rsidRPr="00BB799F" w:rsidRDefault="00BB799F" w:rsidP="00BB799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cs="Arial"/>
                <w:sz w:val="20"/>
                <w:szCs w:val="20"/>
              </w:rPr>
            </w:pPr>
            <w:r w:rsidRPr="00BB799F">
              <w:rPr>
                <w:rFonts w:cs="Arial"/>
                <w:sz w:val="20"/>
                <w:szCs w:val="20"/>
              </w:rPr>
              <w:t>focuses on a material and social existence shared by a “</w:t>
            </w:r>
            <w:r w:rsidRPr="00BB799F">
              <w:rPr>
                <w:rFonts w:cs="Arial"/>
                <w:b/>
                <w:sz w:val="20"/>
                <w:szCs w:val="20"/>
              </w:rPr>
              <w:t>knowable community</w:t>
            </w:r>
            <w:r w:rsidRPr="00BB799F">
              <w:rPr>
                <w:rFonts w:cs="Arial"/>
                <w:sz w:val="20"/>
                <w:szCs w:val="20"/>
              </w:rPr>
              <w:t xml:space="preserve">” (Eagleton qtd. in </w:t>
            </w:r>
            <w:proofErr w:type="spellStart"/>
            <w:r w:rsidRPr="00BB799F">
              <w:rPr>
                <w:rFonts w:cs="Arial"/>
                <w:sz w:val="20"/>
                <w:szCs w:val="20"/>
              </w:rPr>
              <w:t>Cobley</w:t>
            </w:r>
            <w:proofErr w:type="spellEnd"/>
            <w:r w:rsidRPr="00BB799F">
              <w:rPr>
                <w:rFonts w:cs="Arial"/>
                <w:sz w:val="20"/>
                <w:szCs w:val="20"/>
              </w:rPr>
              <w:t xml:space="preserve"> 80)</w:t>
            </w:r>
            <w:r w:rsidRPr="00BB799F">
              <w:rPr>
                <w:rFonts w:cs="Arial"/>
                <w:sz w:val="20"/>
                <w:szCs w:val="20"/>
              </w:rPr>
              <w:br/>
            </w:r>
          </w:p>
          <w:p w14:paraId="418E41AF" w14:textId="77777777" w:rsidR="00BB799F" w:rsidRPr="00BB799F" w:rsidRDefault="00BB799F" w:rsidP="00BB799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cs="Arial"/>
                <w:sz w:val="20"/>
                <w:szCs w:val="20"/>
              </w:rPr>
            </w:pPr>
            <w:r w:rsidRPr="00BB799F">
              <w:rPr>
                <w:rFonts w:cs="Arial"/>
                <w:sz w:val="20"/>
                <w:szCs w:val="20"/>
              </w:rPr>
              <w:t xml:space="preserve">often assumes “that there is </w:t>
            </w:r>
            <w:r w:rsidRPr="00BB799F">
              <w:rPr>
                <w:rFonts w:cs="Arial"/>
                <w:b/>
                <w:sz w:val="20"/>
                <w:szCs w:val="20"/>
              </w:rPr>
              <w:t>one, authoritative meaning</w:t>
            </w:r>
            <w:r w:rsidRPr="00BB799F">
              <w:rPr>
                <w:rFonts w:cs="Arial"/>
                <w:sz w:val="20"/>
                <w:szCs w:val="20"/>
              </w:rPr>
              <w:t>” which is frequently achieved through an “</w:t>
            </w:r>
            <w:r w:rsidRPr="00BB799F">
              <w:rPr>
                <w:rFonts w:cs="Arial"/>
                <w:b/>
                <w:sz w:val="20"/>
                <w:szCs w:val="20"/>
              </w:rPr>
              <w:t>omniscient</w:t>
            </w:r>
            <w:r w:rsidRPr="00BB799F">
              <w:rPr>
                <w:rFonts w:cs="Arial"/>
                <w:sz w:val="20"/>
                <w:szCs w:val="20"/>
              </w:rPr>
              <w:t>” narrative point of view presenting social facts and “common sense” judgments (</w:t>
            </w:r>
            <w:proofErr w:type="spellStart"/>
            <w:r w:rsidRPr="00BB799F">
              <w:rPr>
                <w:rFonts w:cs="Arial"/>
                <w:sz w:val="20"/>
                <w:szCs w:val="20"/>
              </w:rPr>
              <w:t>Cobley</w:t>
            </w:r>
            <w:proofErr w:type="spellEnd"/>
            <w:r w:rsidRPr="00BB799F">
              <w:rPr>
                <w:rFonts w:cs="Arial"/>
                <w:sz w:val="20"/>
                <w:szCs w:val="20"/>
              </w:rPr>
              <w:t xml:space="preserve"> 95, 91)</w:t>
            </w:r>
          </w:p>
          <w:p w14:paraId="097A9DC2" w14:textId="77777777" w:rsidR="00BB799F" w:rsidRPr="00BD32B4" w:rsidRDefault="00BB799F" w:rsidP="00BB7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4002E462" w14:textId="77777777" w:rsidR="00BB799F" w:rsidRPr="00BD32B4" w:rsidRDefault="00BB799F" w:rsidP="00BB7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4A005353" w14:textId="77777777" w:rsidR="00BB799F" w:rsidRDefault="00BB799F" w:rsidP="00BB799F"/>
        </w:tc>
        <w:tc>
          <w:tcPr>
            <w:tcW w:w="4950" w:type="dxa"/>
          </w:tcPr>
          <w:p w14:paraId="09897B2F" w14:textId="77777777" w:rsidR="00BB799F" w:rsidRDefault="00BB799F" w:rsidP="00BB799F">
            <w:pPr>
              <w:jc w:val="center"/>
              <w:rPr>
                <w:b/>
              </w:rPr>
            </w:pPr>
            <w:r w:rsidRPr="00BB799F">
              <w:rPr>
                <w:b/>
              </w:rPr>
              <w:t>Causes and Conditions</w:t>
            </w:r>
            <w:r>
              <w:rPr>
                <w:b/>
              </w:rPr>
              <w:t xml:space="preserve"> (l19C)</w:t>
            </w:r>
          </w:p>
          <w:p w14:paraId="7A47805B" w14:textId="77777777" w:rsidR="00BB799F" w:rsidRPr="004629BE" w:rsidRDefault="00BB799F" w:rsidP="00BB799F">
            <w:pPr>
              <w:rPr>
                <w:b/>
                <w:sz w:val="16"/>
                <w:szCs w:val="16"/>
              </w:rPr>
            </w:pPr>
          </w:p>
          <w:p w14:paraId="24140B70" w14:textId="104D064D" w:rsidR="00BB799F" w:rsidRPr="00BB799F" w:rsidRDefault="00BB799F" w:rsidP="00BB799F">
            <w:pPr>
              <w:numPr>
                <w:ilvl w:val="0"/>
                <w:numId w:val="1"/>
              </w:numPr>
              <w:ind w:left="162" w:hanging="180"/>
              <w:rPr>
                <w:sz w:val="20"/>
                <w:szCs w:val="20"/>
              </w:rPr>
            </w:pPr>
            <w:r w:rsidRPr="00BB799F">
              <w:rPr>
                <w:sz w:val="20"/>
                <w:szCs w:val="20"/>
              </w:rPr>
              <w:t xml:space="preserve">Improved </w:t>
            </w:r>
            <w:r w:rsidRPr="00BB799F">
              <w:rPr>
                <w:b/>
                <w:sz w:val="20"/>
                <w:szCs w:val="20"/>
              </w:rPr>
              <w:t>transportation and communication</w:t>
            </w:r>
            <w:r w:rsidRPr="00BB799F">
              <w:rPr>
                <w:sz w:val="20"/>
                <w:szCs w:val="20"/>
              </w:rPr>
              <w:t xml:space="preserve"> in the nineteenth century expands awareness</w:t>
            </w:r>
            <w:r w:rsidR="0074220E">
              <w:rPr>
                <w:sz w:val="20"/>
                <w:szCs w:val="20"/>
              </w:rPr>
              <w:t xml:space="preserve"> of an extensive, complex, and “networked” </w:t>
            </w:r>
            <w:r w:rsidRPr="00BB799F">
              <w:rPr>
                <w:sz w:val="20"/>
                <w:szCs w:val="20"/>
              </w:rPr>
              <w:t>world, producing a more nationalized—and less local—</w:t>
            </w:r>
            <w:r w:rsidR="004629BE">
              <w:rPr>
                <w:sz w:val="20"/>
                <w:szCs w:val="20"/>
              </w:rPr>
              <w:t>awareness and identity</w:t>
            </w:r>
            <w:r w:rsidRPr="00BB799F">
              <w:rPr>
                <w:sz w:val="20"/>
                <w:szCs w:val="20"/>
              </w:rPr>
              <w:t>.  </w:t>
            </w:r>
            <w:r>
              <w:rPr>
                <w:sz w:val="20"/>
                <w:szCs w:val="20"/>
              </w:rPr>
              <w:br/>
            </w:r>
          </w:p>
          <w:p w14:paraId="30077C37" w14:textId="77777777" w:rsidR="00BB799F" w:rsidRPr="00BB799F" w:rsidRDefault="00BB799F" w:rsidP="00BB799F">
            <w:pPr>
              <w:numPr>
                <w:ilvl w:val="0"/>
                <w:numId w:val="1"/>
              </w:numPr>
              <w:ind w:left="162" w:hanging="180"/>
              <w:rPr>
                <w:sz w:val="20"/>
                <w:szCs w:val="20"/>
              </w:rPr>
            </w:pPr>
            <w:r w:rsidRPr="00BB799F">
              <w:rPr>
                <w:b/>
                <w:sz w:val="20"/>
                <w:szCs w:val="20"/>
              </w:rPr>
              <w:t>Industrialization</w:t>
            </w:r>
            <w:r w:rsidRPr="00BB799F">
              <w:rPr>
                <w:sz w:val="20"/>
                <w:szCs w:val="20"/>
              </w:rPr>
              <w:t xml:space="preserve"> leads to more division of labor, greater differences between rich and poor, and to the felt need by artists and writers to represent the diversity of lifestyles and economic conditions within a “knowable” and coherent whole (Eagleton’s “</w:t>
            </w:r>
            <w:proofErr w:type="spellStart"/>
            <w:r w:rsidRPr="00BB799F">
              <w:rPr>
                <w:sz w:val="20"/>
                <w:szCs w:val="20"/>
              </w:rPr>
              <w:t>corporalist</w:t>
            </w:r>
            <w:proofErr w:type="spellEnd"/>
            <w:r w:rsidRPr="00BB799F">
              <w:rPr>
                <w:sz w:val="20"/>
                <w:szCs w:val="20"/>
              </w:rPr>
              <w:t xml:space="preserve"> phase of capitalist development </w:t>
            </w:r>
            <w:proofErr w:type="spellStart"/>
            <w:r w:rsidRPr="00BB799F">
              <w:rPr>
                <w:sz w:val="20"/>
                <w:szCs w:val="20"/>
              </w:rPr>
              <w:t>qtd</w:t>
            </w:r>
            <w:proofErr w:type="spellEnd"/>
            <w:r w:rsidRPr="00BB799F">
              <w:rPr>
                <w:sz w:val="20"/>
                <w:szCs w:val="20"/>
              </w:rPr>
              <w:t xml:space="preserve"> in </w:t>
            </w:r>
            <w:proofErr w:type="spellStart"/>
            <w:r w:rsidRPr="00BB799F">
              <w:rPr>
                <w:sz w:val="20"/>
                <w:szCs w:val="20"/>
              </w:rPr>
              <w:t>Colbey</w:t>
            </w:r>
            <w:proofErr w:type="spellEnd"/>
            <w:r w:rsidRPr="00BB799F">
              <w:rPr>
                <w:sz w:val="20"/>
                <w:szCs w:val="20"/>
              </w:rPr>
              <w:t xml:space="preserve"> 88)</w:t>
            </w:r>
            <w:r>
              <w:rPr>
                <w:sz w:val="20"/>
                <w:szCs w:val="20"/>
              </w:rPr>
              <w:t>.</w:t>
            </w:r>
            <w:r>
              <w:rPr>
                <w:sz w:val="20"/>
                <w:szCs w:val="20"/>
              </w:rPr>
              <w:br/>
            </w:r>
          </w:p>
          <w:p w14:paraId="2A350A1F" w14:textId="77777777" w:rsidR="00BB799F" w:rsidRPr="00BB799F" w:rsidRDefault="00BB799F" w:rsidP="00BB799F">
            <w:pPr>
              <w:numPr>
                <w:ilvl w:val="0"/>
                <w:numId w:val="1"/>
              </w:numPr>
              <w:ind w:left="162" w:hanging="180"/>
              <w:rPr>
                <w:sz w:val="20"/>
                <w:szCs w:val="20"/>
              </w:rPr>
            </w:pPr>
            <w:r w:rsidRPr="00BB799F">
              <w:rPr>
                <w:sz w:val="20"/>
                <w:szCs w:val="20"/>
              </w:rPr>
              <w:t xml:space="preserve">Increased </w:t>
            </w:r>
            <w:r w:rsidRPr="00BB799F">
              <w:rPr>
                <w:b/>
                <w:sz w:val="20"/>
                <w:szCs w:val="20"/>
              </w:rPr>
              <w:t>circulation of books, magazines, and newspapers</w:t>
            </w:r>
            <w:r w:rsidRPr="00BB799F">
              <w:rPr>
                <w:sz w:val="20"/>
                <w:szCs w:val="20"/>
              </w:rPr>
              <w:t xml:space="preserve"> exposes readers to more varied opinions and styles, producing a need to establish authority by finding an ostensibly objective and universal means of representation.  </w:t>
            </w:r>
            <w:r>
              <w:rPr>
                <w:sz w:val="20"/>
                <w:szCs w:val="20"/>
              </w:rPr>
              <w:br/>
            </w:r>
          </w:p>
          <w:p w14:paraId="4FD20D52" w14:textId="77777777" w:rsidR="00BB799F" w:rsidRPr="00BB799F" w:rsidRDefault="00BB799F" w:rsidP="00BB799F">
            <w:pPr>
              <w:numPr>
                <w:ilvl w:val="0"/>
                <w:numId w:val="1"/>
              </w:numPr>
              <w:ind w:left="162" w:hanging="180"/>
              <w:rPr>
                <w:sz w:val="20"/>
                <w:szCs w:val="20"/>
              </w:rPr>
            </w:pPr>
            <w:r w:rsidRPr="00BB799F">
              <w:rPr>
                <w:sz w:val="20"/>
                <w:szCs w:val="20"/>
              </w:rPr>
              <w:t xml:space="preserve">Increasing </w:t>
            </w:r>
            <w:r w:rsidRPr="00BB799F">
              <w:rPr>
                <w:b/>
                <w:sz w:val="20"/>
                <w:szCs w:val="20"/>
              </w:rPr>
              <w:t>influence of science</w:t>
            </w:r>
            <w:r w:rsidRPr="00BB799F">
              <w:rPr>
                <w:sz w:val="20"/>
                <w:szCs w:val="20"/>
              </w:rPr>
              <w:t xml:space="preserve"> in all professions, including the arts</w:t>
            </w:r>
            <w:r>
              <w:rPr>
                <w:sz w:val="20"/>
                <w:szCs w:val="20"/>
              </w:rPr>
              <w:t>.</w:t>
            </w:r>
            <w:r w:rsidRPr="00BB799F">
              <w:rPr>
                <w:sz w:val="20"/>
                <w:szCs w:val="20"/>
              </w:rPr>
              <w:t> </w:t>
            </w:r>
            <w:r>
              <w:rPr>
                <w:sz w:val="20"/>
                <w:szCs w:val="20"/>
              </w:rPr>
              <w:br/>
            </w:r>
          </w:p>
          <w:p w14:paraId="4855D642" w14:textId="77777777" w:rsidR="00BB799F" w:rsidRPr="00BB799F" w:rsidRDefault="00BB799F" w:rsidP="00BB799F">
            <w:pPr>
              <w:numPr>
                <w:ilvl w:val="0"/>
                <w:numId w:val="1"/>
              </w:numPr>
              <w:ind w:left="162" w:hanging="180"/>
              <w:rPr>
                <w:sz w:val="20"/>
                <w:szCs w:val="20"/>
              </w:rPr>
            </w:pPr>
            <w:r w:rsidRPr="00BB799F">
              <w:rPr>
                <w:b/>
                <w:sz w:val="20"/>
                <w:szCs w:val="20"/>
              </w:rPr>
              <w:t>Reaction</w:t>
            </w:r>
            <w:r w:rsidRPr="00BB799F">
              <w:rPr>
                <w:sz w:val="20"/>
                <w:szCs w:val="20"/>
              </w:rPr>
              <w:t xml:space="preserve"> against romantic styles of representation, identity, and consciousness (from e19C)</w:t>
            </w:r>
            <w:r>
              <w:rPr>
                <w:sz w:val="20"/>
                <w:szCs w:val="20"/>
              </w:rPr>
              <w:t>.</w:t>
            </w:r>
          </w:p>
        </w:tc>
        <w:bookmarkStart w:id="0" w:name="_GoBack"/>
        <w:bookmarkEnd w:id="0"/>
      </w:tr>
    </w:tbl>
    <w:p w14:paraId="28DF7B94" w14:textId="77777777" w:rsidR="00BB799F" w:rsidRDefault="00BB799F"/>
    <w:sectPr w:rsidR="00BB799F" w:rsidSect="006C1C6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405166"/>
    <w:multiLevelType w:val="hybridMultilevel"/>
    <w:tmpl w:val="1588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B5D98"/>
    <w:multiLevelType w:val="hybridMultilevel"/>
    <w:tmpl w:val="C41E6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99F"/>
    <w:rsid w:val="000608D2"/>
    <w:rsid w:val="00307518"/>
    <w:rsid w:val="003F73EB"/>
    <w:rsid w:val="004629BE"/>
    <w:rsid w:val="005371CC"/>
    <w:rsid w:val="006C1C63"/>
    <w:rsid w:val="0074220E"/>
    <w:rsid w:val="00A3077B"/>
    <w:rsid w:val="00BA1AD8"/>
    <w:rsid w:val="00BB799F"/>
    <w:rsid w:val="00D00CEB"/>
    <w:rsid w:val="00DB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3996D8"/>
  <w14:defaultImageDpi w14:val="300"/>
  <w15:docId w15:val="{359D373B-2095-3E4E-8E2C-C69A67D6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9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799F"/>
    <w:rPr>
      <w:rFonts w:ascii="Lucida Grande" w:hAnsi="Lucida Grande" w:cs="Lucida Grande"/>
      <w:sz w:val="18"/>
      <w:szCs w:val="18"/>
    </w:rPr>
  </w:style>
  <w:style w:type="paragraph" w:styleId="ListParagraph">
    <w:name w:val="List Paragraph"/>
    <w:basedOn w:val="Normal"/>
    <w:uiPriority w:val="34"/>
    <w:qFormat/>
    <w:rsid w:val="00BB7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9</cp:revision>
  <cp:lastPrinted>2018-02-07T13:58:00Z</cp:lastPrinted>
  <dcterms:created xsi:type="dcterms:W3CDTF">2016-02-05T22:18:00Z</dcterms:created>
  <dcterms:modified xsi:type="dcterms:W3CDTF">2018-02-07T14:26:00Z</dcterms:modified>
</cp:coreProperties>
</file>