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3BEF7" w14:textId="77777777" w:rsidR="00B37317" w:rsidRDefault="002E746E">
      <w:r>
        <w:t>Stroupe</w:t>
      </w:r>
    </w:p>
    <w:p w14:paraId="4931DD80" w14:textId="041494FB" w:rsidR="002E746E" w:rsidRDefault="00715105">
      <w:r>
        <w:t>New Media Writing</w:t>
      </w:r>
      <w:bookmarkStart w:id="0" w:name="_GoBack"/>
      <w:bookmarkEnd w:id="0"/>
    </w:p>
    <w:p w14:paraId="190B5FA7" w14:textId="77777777" w:rsidR="002E746E" w:rsidRDefault="002E746E"/>
    <w:p w14:paraId="64614F93" w14:textId="77777777" w:rsidR="002E746E" w:rsidRPr="002E746E" w:rsidRDefault="002E746E" w:rsidP="002E746E">
      <w:pPr>
        <w:jc w:val="center"/>
        <w:rPr>
          <w:b/>
          <w:sz w:val="36"/>
          <w:szCs w:val="36"/>
        </w:rPr>
      </w:pPr>
      <w:r w:rsidRPr="002E746E">
        <w:rPr>
          <w:b/>
          <w:sz w:val="36"/>
          <w:szCs w:val="36"/>
        </w:rPr>
        <w:t>Birkerts and Murray</w:t>
      </w:r>
    </w:p>
    <w:p w14:paraId="0436A64E" w14:textId="77777777" w:rsidR="00A31855" w:rsidRDefault="00A31855"/>
    <w:p w14:paraId="3F96A107" w14:textId="77777777" w:rsidR="00A31855" w:rsidRDefault="002E746E">
      <w:r>
        <w:t xml:space="preserve">Choose a particular passage in which Birkerts identifies one issue, question, or concern about New Media, and then find two or three instances where Murray speaks to that issue, question or concern.  </w:t>
      </w:r>
    </w:p>
    <w:p w14:paraId="10AC6735" w14:textId="77777777" w:rsidR="00A31855" w:rsidRDefault="00A31855"/>
    <w:p w14:paraId="410011AE" w14:textId="77777777" w:rsidR="00A31855" w:rsidRDefault="00A31855">
      <w:r>
        <w:sym w:font="Symbol" w:char="F0BE"/>
      </w:r>
      <w:r>
        <w:t xml:space="preserve"> </w:t>
      </w:r>
      <w:r w:rsidR="002E746E">
        <w:t xml:space="preserve">What do these pairings of passages from Birkerts and Murray reveal about the </w:t>
      </w:r>
      <w:r>
        <w:t xml:space="preserve">differences between traditional and </w:t>
      </w:r>
      <w:proofErr w:type="gramStart"/>
      <w:r>
        <w:t>New</w:t>
      </w:r>
      <w:proofErr w:type="gramEnd"/>
      <w:r>
        <w:t xml:space="preserve"> Media?  </w:t>
      </w:r>
    </w:p>
    <w:p w14:paraId="3AB3073E" w14:textId="77777777" w:rsidR="00A31855" w:rsidRDefault="00A31855"/>
    <w:p w14:paraId="0129B6DC" w14:textId="77777777" w:rsidR="002E746E" w:rsidRDefault="00A31855">
      <w:r>
        <w:sym w:font="Symbol" w:char="F0BE"/>
      </w:r>
      <w:r>
        <w:t xml:space="preserve"> What other specific lines and passages from Murray help explain and elaborate her response?  (Write the page numbers and a few key words from the additional quotation in the right margin.)</w:t>
      </w:r>
    </w:p>
    <w:p w14:paraId="1418CB4A" w14:textId="77777777" w:rsidR="00715105" w:rsidRDefault="00715105"/>
    <w:p w14:paraId="163B9919" w14:textId="076D04F0" w:rsidR="00715105" w:rsidRPr="00715105" w:rsidRDefault="00715105">
      <w:pPr>
        <w:rPr>
          <w:b/>
        </w:rPr>
      </w:pPr>
      <w:r w:rsidRPr="00715105">
        <w:rPr>
          <w:b/>
        </w:rPr>
        <w:t>Example:</w:t>
      </w:r>
    </w:p>
    <w:p w14:paraId="3858C786" w14:textId="77777777" w:rsidR="00A31855" w:rsidRDefault="00A31855"/>
    <w:tbl>
      <w:tblPr>
        <w:tblStyle w:val="TableGrid"/>
        <w:tblW w:w="0" w:type="auto"/>
        <w:tblLook w:val="04A0" w:firstRow="1" w:lastRow="0" w:firstColumn="1" w:lastColumn="0" w:noHBand="0" w:noVBand="1"/>
      </w:tblPr>
      <w:tblGrid>
        <w:gridCol w:w="4428"/>
        <w:gridCol w:w="4428"/>
      </w:tblGrid>
      <w:tr w:rsidR="002E746E" w14:paraId="363FBC98" w14:textId="77777777" w:rsidTr="002E746E">
        <w:tc>
          <w:tcPr>
            <w:tcW w:w="4428" w:type="dxa"/>
          </w:tcPr>
          <w:p w14:paraId="40EB42F6" w14:textId="77777777" w:rsidR="002E746E" w:rsidRPr="002E746E" w:rsidRDefault="002E746E" w:rsidP="002E746E">
            <w:pPr>
              <w:ind w:left="180"/>
              <w:rPr>
                <w:rFonts w:cs="Arial"/>
                <w:b/>
              </w:rPr>
            </w:pPr>
            <w:r w:rsidRPr="002E746E">
              <w:rPr>
                <w:rFonts w:cs="Arial"/>
                <w:b/>
              </w:rPr>
              <w:t>Birkerts</w:t>
            </w:r>
          </w:p>
          <w:p w14:paraId="1C74B029" w14:textId="77777777" w:rsidR="002E746E" w:rsidRDefault="002E746E" w:rsidP="002E746E">
            <w:pPr>
              <w:ind w:left="180"/>
              <w:rPr>
                <w:rFonts w:cs="Arial"/>
              </w:rPr>
            </w:pPr>
          </w:p>
          <w:p w14:paraId="4396D1BD" w14:textId="77777777" w:rsidR="002E746E" w:rsidRPr="00B03256" w:rsidRDefault="002E746E" w:rsidP="002E746E">
            <w:pPr>
              <w:ind w:left="180" w:right="162"/>
              <w:rPr>
                <w:rFonts w:cs="Arial"/>
                <w:sz w:val="22"/>
                <w:szCs w:val="22"/>
              </w:rPr>
            </w:pPr>
            <w:r w:rsidRPr="00B03256">
              <w:rPr>
                <w:rFonts w:cs="Arial"/>
                <w:sz w:val="22"/>
                <w:szCs w:val="22"/>
              </w:rPr>
              <w:t xml:space="preserve">"This is it, no?  The </w:t>
            </w:r>
            <w:r w:rsidRPr="00B03256">
              <w:rPr>
                <w:rFonts w:cs="Arial"/>
                <w:b/>
                <w:sz w:val="22"/>
                <w:szCs w:val="22"/>
              </w:rPr>
              <w:t>densities of meaning</w:t>
            </w:r>
            <w:r w:rsidRPr="00B03256">
              <w:rPr>
                <w:rFonts w:cs="Arial"/>
                <w:sz w:val="22"/>
                <w:szCs w:val="22"/>
              </w:rPr>
              <w:t xml:space="preserve"> once </w:t>
            </w:r>
            <w:proofErr w:type="gramStart"/>
            <w:r w:rsidRPr="00B03256">
              <w:rPr>
                <w:rFonts w:cs="Arial"/>
                <w:sz w:val="22"/>
                <w:szCs w:val="22"/>
              </w:rPr>
              <w:t>conferred,</w:t>
            </w:r>
            <w:proofErr w:type="gramEnd"/>
            <w:r w:rsidRPr="00B03256">
              <w:rPr>
                <w:rFonts w:cs="Arial"/>
                <w:sz w:val="22"/>
                <w:szCs w:val="22"/>
              </w:rPr>
              <w:t xml:space="preserve"> since leached out.  Our passage into bright contemporaneity has carried a price: The more complex and sophisticated our </w:t>
            </w:r>
            <w:r w:rsidRPr="00B03256">
              <w:rPr>
                <w:rFonts w:cs="Arial"/>
                <w:b/>
                <w:bCs/>
                <w:sz w:val="22"/>
                <w:szCs w:val="22"/>
              </w:rPr>
              <w:t>system of</w:t>
            </w:r>
            <w:r w:rsidRPr="00B03256">
              <w:rPr>
                <w:rFonts w:cs="Arial"/>
                <w:sz w:val="22"/>
                <w:szCs w:val="22"/>
              </w:rPr>
              <w:t xml:space="preserve"> </w:t>
            </w:r>
            <w:r w:rsidRPr="00B03256">
              <w:rPr>
                <w:rFonts w:cs="Arial"/>
                <w:b/>
                <w:bCs/>
                <w:sz w:val="22"/>
                <w:szCs w:val="22"/>
              </w:rPr>
              <w:t>lateral</w:t>
            </w:r>
            <w:r w:rsidRPr="00B03256">
              <w:rPr>
                <w:rFonts w:cs="Arial"/>
                <w:sz w:val="22"/>
                <w:szCs w:val="22"/>
              </w:rPr>
              <w:t xml:space="preserve"> </w:t>
            </w:r>
            <w:r w:rsidRPr="00B03256">
              <w:rPr>
                <w:rFonts w:cs="Arial"/>
                <w:b/>
                <w:bCs/>
                <w:sz w:val="22"/>
                <w:szCs w:val="22"/>
              </w:rPr>
              <w:t>access</w:t>
            </w:r>
            <w:r w:rsidRPr="00B03256">
              <w:rPr>
                <w:rFonts w:cs="Arial"/>
                <w:sz w:val="22"/>
                <w:szCs w:val="22"/>
              </w:rPr>
              <w:t xml:space="preserve">, the more we sacrifice in the </w:t>
            </w:r>
            <w:r w:rsidRPr="00B03256">
              <w:rPr>
                <w:rFonts w:cs="Arial"/>
                <w:b/>
                <w:bCs/>
                <w:sz w:val="22"/>
                <w:szCs w:val="22"/>
              </w:rPr>
              <w:t>way of</w:t>
            </w:r>
            <w:r w:rsidRPr="00B03256">
              <w:rPr>
                <w:rFonts w:cs="Arial"/>
                <w:sz w:val="22"/>
                <w:szCs w:val="22"/>
              </w:rPr>
              <w:t xml:space="preserve"> </w:t>
            </w:r>
            <w:r w:rsidRPr="00B03256">
              <w:rPr>
                <w:rFonts w:cs="Arial"/>
                <w:b/>
                <w:bCs/>
                <w:sz w:val="22"/>
                <w:szCs w:val="22"/>
              </w:rPr>
              <w:t>depth"</w:t>
            </w:r>
            <w:r w:rsidRPr="00B03256">
              <w:rPr>
                <w:rFonts w:cs="Arial"/>
                <w:sz w:val="22"/>
                <w:szCs w:val="22"/>
              </w:rPr>
              <w:t xml:space="preserve"> (</w:t>
            </w:r>
            <w:proofErr w:type="spellStart"/>
            <w:r w:rsidRPr="00B03256">
              <w:rPr>
                <w:rFonts w:cs="Arial"/>
                <w:sz w:val="22"/>
                <w:szCs w:val="22"/>
              </w:rPr>
              <w:t>Birkers</w:t>
            </w:r>
            <w:proofErr w:type="spellEnd"/>
            <w:r w:rsidRPr="00B03256">
              <w:rPr>
                <w:rFonts w:cs="Arial"/>
                <w:sz w:val="22"/>
                <w:szCs w:val="22"/>
              </w:rPr>
              <w:t xml:space="preserve"> 26).</w:t>
            </w:r>
          </w:p>
          <w:p w14:paraId="0BF90605" w14:textId="77777777" w:rsidR="002E746E" w:rsidRPr="002E746E" w:rsidRDefault="002E746E" w:rsidP="002E746E">
            <w:pPr>
              <w:ind w:left="180" w:right="162"/>
            </w:pPr>
          </w:p>
        </w:tc>
        <w:tc>
          <w:tcPr>
            <w:tcW w:w="4428" w:type="dxa"/>
          </w:tcPr>
          <w:p w14:paraId="6B68B6CB" w14:textId="77777777" w:rsidR="002E746E" w:rsidRPr="002E746E" w:rsidRDefault="002E746E" w:rsidP="00B03256">
            <w:pPr>
              <w:ind w:left="72" w:right="180"/>
              <w:rPr>
                <w:b/>
              </w:rPr>
            </w:pPr>
            <w:r w:rsidRPr="002E746E">
              <w:rPr>
                <w:b/>
              </w:rPr>
              <w:t>Murray</w:t>
            </w:r>
          </w:p>
          <w:p w14:paraId="2B3986CE" w14:textId="77777777" w:rsidR="002E746E" w:rsidRDefault="002E746E" w:rsidP="00B03256">
            <w:pPr>
              <w:ind w:left="72" w:right="180"/>
            </w:pPr>
          </w:p>
          <w:p w14:paraId="58F54674" w14:textId="77777777" w:rsidR="002E746E" w:rsidRPr="00B03256" w:rsidRDefault="002E746E" w:rsidP="00B03256">
            <w:pPr>
              <w:ind w:left="72" w:right="180"/>
              <w:rPr>
                <w:sz w:val="22"/>
                <w:szCs w:val="22"/>
              </w:rPr>
            </w:pPr>
            <w:r w:rsidRPr="00B03256">
              <w:rPr>
                <w:sz w:val="22"/>
                <w:szCs w:val="22"/>
              </w:rPr>
              <w:t xml:space="preserve">“To </w:t>
            </w:r>
            <w:proofErr w:type="spellStart"/>
            <w:r w:rsidRPr="00B03256">
              <w:rPr>
                <w:sz w:val="22"/>
                <w:szCs w:val="22"/>
              </w:rPr>
              <w:t>Weizenbaum’s</w:t>
            </w:r>
            <w:proofErr w:type="spellEnd"/>
            <w:r w:rsidRPr="00B03256">
              <w:rPr>
                <w:sz w:val="22"/>
                <w:szCs w:val="22"/>
              </w:rPr>
              <w:t xml:space="preserve"> dismay, a wide range of people, including his own secretary, would “demand to be permitted to converse with the [ELIZA] system in private, and would, after conversing with it for a time, insist, in spite of [</w:t>
            </w:r>
            <w:proofErr w:type="spellStart"/>
            <w:r w:rsidRPr="00B03256">
              <w:rPr>
                <w:sz w:val="22"/>
                <w:szCs w:val="22"/>
              </w:rPr>
              <w:t>Weizenbaum’s</w:t>
            </w:r>
            <w:proofErr w:type="spellEnd"/>
            <w:r w:rsidRPr="00B03256">
              <w:rPr>
                <w:sz w:val="22"/>
                <w:szCs w:val="22"/>
              </w:rPr>
              <w:t>] explanations, that the machine really understood them” (71).</w:t>
            </w:r>
          </w:p>
          <w:p w14:paraId="549CC421" w14:textId="77777777" w:rsidR="002E746E" w:rsidRPr="00B03256" w:rsidRDefault="002E746E" w:rsidP="00B03256">
            <w:pPr>
              <w:ind w:left="72" w:right="180"/>
              <w:rPr>
                <w:sz w:val="22"/>
                <w:szCs w:val="22"/>
              </w:rPr>
            </w:pPr>
          </w:p>
          <w:p w14:paraId="1D1D06B9" w14:textId="77777777" w:rsidR="002E746E" w:rsidRPr="00B03256" w:rsidRDefault="002E746E" w:rsidP="00B03256">
            <w:pPr>
              <w:ind w:left="72" w:right="180"/>
              <w:rPr>
                <w:sz w:val="22"/>
                <w:szCs w:val="22"/>
              </w:rPr>
            </w:pPr>
            <w:r w:rsidRPr="00B03256">
              <w:rPr>
                <w:sz w:val="22"/>
                <w:szCs w:val="22"/>
              </w:rPr>
              <w:t>“In an interactive medium, the interpretive framework is embedded in the rules by which the system works and in the way in which participation is shaped” (89).</w:t>
            </w:r>
          </w:p>
          <w:p w14:paraId="7D97ADC9" w14:textId="77777777" w:rsidR="002E746E" w:rsidRPr="00B03256" w:rsidRDefault="002E746E" w:rsidP="00B03256">
            <w:pPr>
              <w:ind w:left="72" w:right="180"/>
              <w:rPr>
                <w:sz w:val="22"/>
                <w:szCs w:val="22"/>
              </w:rPr>
            </w:pPr>
          </w:p>
          <w:p w14:paraId="3EF2FC45" w14:textId="77777777" w:rsidR="002E746E" w:rsidRDefault="002E746E" w:rsidP="00B03256">
            <w:pPr>
              <w:ind w:left="72" w:right="180"/>
            </w:pPr>
            <w:r w:rsidRPr="00B03256">
              <w:rPr>
                <w:sz w:val="22"/>
                <w:szCs w:val="22"/>
              </w:rPr>
              <w:t xml:space="preserve">“Current narrative applications overexploit the digressive possibilities of hypertext and the </w:t>
            </w:r>
            <w:proofErr w:type="spellStart"/>
            <w:r w:rsidRPr="00B03256">
              <w:rPr>
                <w:sz w:val="22"/>
                <w:szCs w:val="22"/>
              </w:rPr>
              <w:t>gamellike</w:t>
            </w:r>
            <w:proofErr w:type="spellEnd"/>
            <w:r w:rsidRPr="00B03256">
              <w:rPr>
                <w:sz w:val="22"/>
                <w:szCs w:val="22"/>
              </w:rPr>
              <w:t xml:space="preserve"> features of simulation, but that is not surprising in an incunabular medium.  As digital narrative develops into maturity, the associational wildernesses will acquire more coherence and the combat games will give way to the portrayal of more complex processes” (93).</w:t>
            </w:r>
            <w:r>
              <w:t xml:space="preserve">  </w:t>
            </w:r>
          </w:p>
          <w:p w14:paraId="0AC4AD79" w14:textId="77777777" w:rsidR="00B03256" w:rsidRDefault="00B03256" w:rsidP="00B03256">
            <w:pPr>
              <w:ind w:left="72" w:right="180"/>
            </w:pPr>
          </w:p>
        </w:tc>
      </w:tr>
    </w:tbl>
    <w:p w14:paraId="4632F18E" w14:textId="77777777" w:rsidR="002E746E" w:rsidRDefault="002E746E"/>
    <w:sectPr w:rsidR="002E746E" w:rsidSect="003E2B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46E"/>
    <w:rsid w:val="002E746E"/>
    <w:rsid w:val="003E2B50"/>
    <w:rsid w:val="00715105"/>
    <w:rsid w:val="00A31855"/>
    <w:rsid w:val="00B03256"/>
    <w:rsid w:val="00B3731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86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1447</Characters>
  <Application>Microsoft Macintosh Word</Application>
  <DocSecurity>0</DocSecurity>
  <Lines>12</Lines>
  <Paragraphs>3</Paragraphs>
  <ScaleCrop>false</ScaleCrop>
  <Company>umd</Company>
  <LinksUpToDate>false</LinksUpToDate>
  <CharactersWithSpaces>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dc:creator>
  <cp:keywords/>
  <dc:description/>
  <cp:lastModifiedBy>Craig Stroupe</cp:lastModifiedBy>
  <cp:revision>2</cp:revision>
  <dcterms:created xsi:type="dcterms:W3CDTF">2016-01-20T15:27:00Z</dcterms:created>
  <dcterms:modified xsi:type="dcterms:W3CDTF">2016-01-20T15:27:00Z</dcterms:modified>
</cp:coreProperties>
</file>