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979"/>
        <w:gridCol w:w="2957"/>
        <w:gridCol w:w="915"/>
        <w:gridCol w:w="1897"/>
        <w:gridCol w:w="1912"/>
      </w:tblGrid>
      <w:tr w:rsidR="005F6A5F" w:rsidRPr="00962D66" w:rsidTr="00D9094A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666666"/>
              <w:right w:val="single" w:sz="2" w:space="0" w:color="000000"/>
            </w:tcBorders>
            <w:shd w:val="clear" w:color="auto" w:fill="ECF5FC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 w:line="300" w:lineRule="atLeast"/>
              <w:jc w:val="center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  <w:t>Solar Condition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666666"/>
              <w:right w:val="single" w:sz="2" w:space="0" w:color="000000"/>
            </w:tcBorders>
            <w:shd w:val="clear" w:color="auto" w:fill="ECF5FC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 w:line="300" w:lineRule="atLeast"/>
              <w:jc w:val="center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  <w:t>Standard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666666"/>
              <w:right w:val="single" w:sz="2" w:space="0" w:color="000000"/>
            </w:tcBorders>
            <w:shd w:val="clear" w:color="auto" w:fill="ECF5FC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 w:line="300" w:lineRule="atLeast"/>
              <w:jc w:val="center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  <w:t>Power Density (Wm</w:t>
            </w:r>
            <w:r w:rsidRPr="00962D66">
              <w:rPr>
                <w:rFonts w:ascii="Verdana" w:eastAsia="Times New Roman" w:hAnsi="Verdana" w:cs="Arial"/>
                <w:b/>
                <w:bCs/>
                <w:color w:val="333333"/>
                <w:sz w:val="15"/>
                <w:szCs w:val="15"/>
                <w:vertAlign w:val="superscript"/>
              </w:rPr>
              <w:t>-2</w:t>
            </w:r>
            <w:r w:rsidRPr="00962D66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  <w:t>)</w:t>
            </w:r>
          </w:p>
        </w:tc>
      </w:tr>
      <w:tr w:rsidR="005F6A5F" w:rsidRPr="00962D66" w:rsidTr="00D9094A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666666"/>
              <w:right w:val="single" w:sz="2" w:space="0" w:color="000000"/>
            </w:tcBorders>
            <w:shd w:val="clear" w:color="auto" w:fill="ECF5FC"/>
            <w:vAlign w:val="center"/>
            <w:hideMark/>
          </w:tcPr>
          <w:p w:rsidR="005F6A5F" w:rsidRPr="00962D66" w:rsidRDefault="005F6A5F" w:rsidP="00D9094A">
            <w:pPr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666666"/>
              <w:right w:val="single" w:sz="2" w:space="0" w:color="000000"/>
            </w:tcBorders>
            <w:shd w:val="clear" w:color="auto" w:fill="ECF5FC"/>
            <w:vAlign w:val="center"/>
            <w:hideMark/>
          </w:tcPr>
          <w:p w:rsidR="005F6A5F" w:rsidRPr="00962D66" w:rsidRDefault="005F6A5F" w:rsidP="00D9094A">
            <w:pPr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666666"/>
              <w:right w:val="single" w:sz="2" w:space="0" w:color="000000"/>
            </w:tcBorders>
            <w:shd w:val="clear" w:color="auto" w:fill="ECF5FC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 w:line="300" w:lineRule="atLeast"/>
              <w:jc w:val="center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666666"/>
              <w:right w:val="single" w:sz="2" w:space="0" w:color="000000"/>
            </w:tcBorders>
            <w:shd w:val="clear" w:color="auto" w:fill="ECF5FC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 w:line="300" w:lineRule="atLeast"/>
              <w:jc w:val="center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  <w:t>250 - 2500 nm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666666"/>
              <w:right w:val="single" w:sz="2" w:space="0" w:color="000000"/>
            </w:tcBorders>
            <w:shd w:val="clear" w:color="auto" w:fill="ECF5FC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 w:line="300" w:lineRule="atLeast"/>
              <w:jc w:val="center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</w:rPr>
              <w:t>250 - 1100 nm</w:t>
            </w:r>
          </w:p>
        </w:tc>
      </w:tr>
      <w:tr w:rsidR="005F6A5F" w:rsidRPr="00962D66" w:rsidTr="00D9094A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WMO Spectrum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1367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</w:p>
        </w:tc>
      </w:tr>
      <w:tr w:rsidR="005F6A5F" w:rsidRPr="00962D66" w:rsidTr="00D9094A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AM 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ASTM E 490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1353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1302.6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1006.9</w:t>
            </w:r>
          </w:p>
        </w:tc>
      </w:tr>
      <w:tr w:rsidR="005F6A5F" w:rsidRPr="00962D66" w:rsidTr="00D9094A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AM 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CIE Publication 85, Table 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969.7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779.4</w:t>
            </w:r>
          </w:p>
        </w:tc>
      </w:tr>
      <w:tr w:rsidR="005F6A5F" w:rsidRPr="00962D66" w:rsidTr="00D9094A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AM 1.5 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ASTM E 891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768.3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756.5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584.7</w:t>
            </w:r>
          </w:p>
        </w:tc>
      </w:tr>
      <w:tr w:rsidR="005F6A5F" w:rsidRPr="00962D66" w:rsidTr="00D9094A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AM 1.5 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ASTM E 892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963.8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951.5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768.6</w:t>
            </w:r>
          </w:p>
        </w:tc>
      </w:tr>
      <w:tr w:rsidR="005F6A5F" w:rsidRPr="00962D66" w:rsidTr="00D9094A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AM 1.5 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CEI/IEC* 904-3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987.2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999999"/>
              <w:bottom w:val="single" w:sz="4" w:space="0" w:color="666666"/>
              <w:right w:val="single" w:sz="4" w:space="0" w:color="999999"/>
            </w:tcBorders>
            <w:tcMar>
              <w:top w:w="23" w:type="dxa"/>
              <w:left w:w="127" w:type="dxa"/>
              <w:bottom w:w="23" w:type="dxa"/>
              <w:right w:w="127" w:type="dxa"/>
            </w:tcMar>
            <w:vAlign w:val="center"/>
            <w:hideMark/>
          </w:tcPr>
          <w:p w:rsidR="005F6A5F" w:rsidRPr="00962D66" w:rsidRDefault="005F6A5F" w:rsidP="00D9094A">
            <w:pPr>
              <w:spacing w:after="253"/>
              <w:jc w:val="center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62D66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797.5</w:t>
            </w:r>
          </w:p>
        </w:tc>
      </w:tr>
    </w:tbl>
    <w:p w:rsidR="00960B6B" w:rsidRPr="00962D66" w:rsidRDefault="00960B6B" w:rsidP="00960B6B">
      <w:pPr>
        <w:shd w:val="clear" w:color="auto" w:fill="FFFFFF"/>
        <w:spacing w:before="100" w:beforeAutospacing="1" w:after="100" w:afterAutospacing="1" w:line="207" w:lineRule="atLeast"/>
        <w:rPr>
          <w:rFonts w:eastAsia="Times New Roman"/>
          <w:color w:val="333333"/>
          <w:sz w:val="24"/>
          <w:szCs w:val="24"/>
        </w:rPr>
      </w:pPr>
      <w:r w:rsidRPr="00962D66">
        <w:rPr>
          <w:rFonts w:eastAsia="Times New Roman"/>
          <w:color w:val="333333"/>
          <w:sz w:val="24"/>
          <w:szCs w:val="24"/>
        </w:rPr>
        <w:t xml:space="preserve">The most widely used standard spectra are those published by The Committee </w:t>
      </w:r>
      <w:proofErr w:type="spellStart"/>
      <w:r w:rsidRPr="00962D66">
        <w:rPr>
          <w:rFonts w:eastAsia="Times New Roman"/>
          <w:color w:val="333333"/>
          <w:sz w:val="24"/>
          <w:szCs w:val="24"/>
        </w:rPr>
        <w:t>Internationale</w:t>
      </w:r>
      <w:proofErr w:type="spellEnd"/>
      <w:r w:rsidRPr="00962D6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962D66">
        <w:rPr>
          <w:rFonts w:eastAsia="Times New Roman"/>
          <w:color w:val="333333"/>
          <w:sz w:val="24"/>
          <w:szCs w:val="24"/>
        </w:rPr>
        <w:t>d'Eclaraige</w:t>
      </w:r>
      <w:proofErr w:type="spellEnd"/>
      <w:r w:rsidRPr="00962D66">
        <w:rPr>
          <w:rFonts w:eastAsia="Times New Roman"/>
          <w:color w:val="333333"/>
          <w:sz w:val="24"/>
          <w:szCs w:val="24"/>
        </w:rPr>
        <w:t xml:space="preserve"> (CIE), </w:t>
      </w:r>
      <w:r w:rsidR="00E5182C">
        <w:rPr>
          <w:rFonts w:eastAsia="Times New Roman"/>
          <w:color w:val="333333"/>
          <w:sz w:val="24"/>
          <w:szCs w:val="24"/>
        </w:rPr>
        <w:t>the world authority on radiomet</w:t>
      </w:r>
      <w:r w:rsidRPr="00962D66">
        <w:rPr>
          <w:rFonts w:eastAsia="Times New Roman"/>
          <w:color w:val="333333"/>
          <w:sz w:val="24"/>
          <w:szCs w:val="24"/>
        </w:rPr>
        <w:t xml:space="preserve">ric and photometric nomenclature and standards. The American Society for Testing and Materials (ASTM) publish three spectra - the AM 0, AM 1.5 Direct and AM 1.5 Global for a 37° tilted surface. The conditions for the AM 1.5 spectra were chosen by ASTM "because they are representative of average conditions in the 48 contiguous states of the United States". Fig. 5 shows typical differences in standard direct and global spectra. These curves are from the data in ASTM Standards, E 891 and E 892 for AM 1.5, a turbidity of 0.27 and a tilt of 37° facing the sun and a ground </w:t>
      </w:r>
      <w:proofErr w:type="spellStart"/>
      <w:r w:rsidRPr="00962D66">
        <w:rPr>
          <w:rFonts w:eastAsia="Times New Roman"/>
          <w:color w:val="333333"/>
          <w:sz w:val="24"/>
          <w:szCs w:val="24"/>
        </w:rPr>
        <w:t>albedo</w:t>
      </w:r>
      <w:proofErr w:type="spellEnd"/>
      <w:r w:rsidRPr="00962D66">
        <w:rPr>
          <w:rFonts w:eastAsia="Times New Roman"/>
          <w:color w:val="333333"/>
          <w:sz w:val="24"/>
          <w:szCs w:val="24"/>
        </w:rPr>
        <w:t xml:space="preserve"> of 0.2.</w:t>
      </w:r>
    </w:p>
    <w:p w:rsidR="00E54E03" w:rsidRDefault="00960B6B">
      <w:r w:rsidRPr="00960B6B">
        <w:drawing>
          <wp:inline distT="0" distB="0" distL="0" distR="0">
            <wp:extent cx="5277155" cy="2727377"/>
            <wp:effectExtent l="19050" t="0" r="0" b="0"/>
            <wp:docPr id="20" name="Picture 20" descr="LS-157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S-157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185" cy="272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E03" w:rsidSect="00E5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F6A5F"/>
    <w:rsid w:val="005F6A5F"/>
    <w:rsid w:val="00737499"/>
    <w:rsid w:val="00830689"/>
    <w:rsid w:val="008B5A67"/>
    <w:rsid w:val="00960B6B"/>
    <w:rsid w:val="00A319B4"/>
    <w:rsid w:val="00E5182C"/>
    <w:rsid w:val="00E5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assets.newport.com/web600w-EN/images/800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sburns</cp:lastModifiedBy>
  <cp:revision>3</cp:revision>
  <dcterms:created xsi:type="dcterms:W3CDTF">2012-10-10T14:21:00Z</dcterms:created>
  <dcterms:modified xsi:type="dcterms:W3CDTF">2012-10-10T14:24:00Z</dcterms:modified>
</cp:coreProperties>
</file>